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Global variables should be local variables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 the Turtle examples in Chapter 4.1, a turtle is created and given a name in the beginning of the code so it can be referred to later in the code. This is called “creating a global variable”, which is a convenient way but generally not a very good coding habit when your code gets longer, especially when functions are involved. So we recommend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p. 78, 79 - after being created in the beginning of the code, fred should be included as a parameter in the function definition: drawOneCookie(x_offset, y_offset, t), with all appearances of fred inside the definition replaced with t. When calling this function, use drawOneCookie(-100, 0, fred), for example.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Similarly,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p. 81 - Snippet 3, adam should be included as a parameter in the function call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p. 104, 105, 106 - pete should be included as a parameter in the vortex function call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p. 107 - bob should be included as a parameter in the draw_tree function call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p. 111 - triangle(n) should be triangle(n,t)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